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9D" w:rsidRDefault="002B4F9D" w:rsidP="002B4F9D">
      <w:pPr>
        <w:jc w:val="center"/>
        <w:rPr>
          <w:rFonts w:ascii="Times New Roman" w:hAnsi="Times New Roman"/>
          <w:b/>
          <w:sz w:val="28"/>
          <w:szCs w:val="28"/>
        </w:rPr>
      </w:pPr>
      <w:bookmarkStart w:id="0" w:name="_GoBack"/>
      <w:bookmarkEnd w:id="0"/>
      <w:r>
        <w:rPr>
          <w:rFonts w:ascii="Times New Roman" w:hAnsi="Times New Roman"/>
          <w:b/>
          <w:sz w:val="28"/>
          <w:szCs w:val="28"/>
        </w:rPr>
        <w:t>OLIMPIAISMERET</w:t>
      </w:r>
    </w:p>
    <w:p w:rsidR="002B4F9D" w:rsidRDefault="002B4F9D" w:rsidP="002B4F9D">
      <w:pPr>
        <w:jc w:val="center"/>
        <w:rPr>
          <w:rFonts w:ascii="Times New Roman" w:hAnsi="Times New Roman"/>
          <w:b/>
          <w:sz w:val="28"/>
          <w:szCs w:val="28"/>
        </w:rPr>
      </w:pPr>
      <w:r>
        <w:rPr>
          <w:rFonts w:ascii="Times New Roman" w:hAnsi="Times New Roman"/>
          <w:b/>
          <w:sz w:val="28"/>
          <w:szCs w:val="28"/>
        </w:rPr>
        <w:t>6. évfolyam</w:t>
      </w:r>
    </w:p>
    <w:p w:rsidR="002B4F9D" w:rsidRDefault="002B4F9D" w:rsidP="002B4F9D">
      <w:pPr>
        <w:jc w:val="both"/>
        <w:rPr>
          <w:rFonts w:ascii="Times New Roman" w:hAnsi="Times New Roman"/>
          <w:b/>
          <w:sz w:val="24"/>
          <w:szCs w:val="24"/>
        </w:rPr>
      </w:pP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sport gyakorlása alapvető emberi jog. Minden természetes személyt megillet a sportolás joga a diszkrimináció bármely megnyilvánulási formája nélkül az Olimpiai szellemben, amely kölcsönös megértést követel meg a barátság, szolidaritás és tisztességes játék szellemében.</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köznevelési típusú sportiskolai kerettanterv szerint tanuló sportoló fiatalok számára elengedhetetlen, hogy a tudatos sportolóvá nevelés egyik eszközeként az életkori sajátosságoknak megfelelően tisztában legyenek és rendelkezzenek olyan ismeretekkel, amelyek a sport legmagasabb és legnemesebb játékáról; az olimpiáról szól.</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Amennyiben egy idegen civilizáció képviselői keverednének planétánkra, hogy feltérképezzék a Földlakók szokásait, az olimpia mindenképpen legmeglepőbb felfedezéseik közé kerülne. Más példa szinte alig akad rá, hogy az ötkarikás játékokhoz hasonlóan bármi is ennyire mozgósítsa az országokat, népeket és a közvéleményt. Az olimpiai eszme lényege a világ fiataljainak békés sportversenyek segítségével történő nevelése, valamint az a meggyőződés, hogy az olimpiai játékokkal a sporton keresztül hozzá lehet járulni a népek közötti megbékéléshez. Az újkori olimpiai mozgalom már létrejöttekor igazi békeszolgálatnak tekintett e a munkáját, hiszen a becsületes, szabályos versengést és az ellenfelek tiszteletét írta zászlajára.</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életfilozófiaként a test, az akarat és a szellem képességeit, mint egységes egészet fogja össze és dicsőíti. Egyesítve a sportot a kultúrával és neveléssel 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olyan életforma kialakítására törekszik, amely a munkavégzés örömére, a példakép nevelési értékére, társadalmi felelősségvállalásra és az egyetemes erkölcsi alapelvek tiszteletére alapszik, és egyben utat mutat a sportoló fiatalok életszemléletének alakulásához, akaraterejének és személyiségének komplex fejlesztéséhez.</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megszerzett ismeretek ösztönzik és támogatják az erkölcs és a helyes irányítás előmozdítását a sportban, valamint a fiatalság nevelését a sporton keresztül; a sportban rendelkezésre álló eszközeit a tisztességes játék (fair play) érvényesülésének és az erőszak tilalmának biztosítására szenteli. (*NOB küldetése)</w:t>
      </w:r>
    </w:p>
    <w:p w:rsidR="002B4F9D" w:rsidRDefault="002B4F9D" w:rsidP="002B4F9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célja, hogy a sportot az emberiség harmonikus fejlődésének a szolgálatába állítsa egy békés társadalom előmozdítása és az emberi méltóság megőrzése érdekében.(*</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alapelvei)</w:t>
      </w:r>
    </w:p>
    <w:p w:rsidR="002B4F9D" w:rsidRDefault="002B4F9D" w:rsidP="002B4F9D">
      <w:pPr>
        <w:spacing w:line="360" w:lineRule="auto"/>
        <w:ind w:firstLine="708"/>
        <w:jc w:val="both"/>
        <w:rPr>
          <w:rFonts w:ascii="Times New Roman" w:hAnsi="Times New Roman"/>
          <w:b/>
          <w:sz w:val="24"/>
          <w:szCs w:val="24"/>
        </w:rPr>
      </w:pPr>
      <w:r>
        <w:rPr>
          <w:rFonts w:ascii="Times New Roman" w:eastAsia="Calibri" w:hAnsi="Times New Roman"/>
          <w:sz w:val="24"/>
          <w:szCs w:val="24"/>
        </w:rPr>
        <w:lastRenderedPageBreak/>
        <w:t>Az olimpia jelmondata: „</w:t>
      </w:r>
      <w:proofErr w:type="spellStart"/>
      <w:r>
        <w:rPr>
          <w:rFonts w:ascii="Times New Roman" w:eastAsia="Calibri" w:hAnsi="Times New Roman"/>
          <w:sz w:val="24"/>
          <w:szCs w:val="24"/>
        </w:rPr>
        <w:t>Citius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Altius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Fortius</w:t>
      </w:r>
      <w:proofErr w:type="spellEnd"/>
      <w:r>
        <w:rPr>
          <w:rFonts w:ascii="Times New Roman" w:eastAsia="Calibri" w:hAnsi="Times New Roman"/>
          <w:sz w:val="24"/>
          <w:szCs w:val="24"/>
        </w:rPr>
        <w:t>.” (Gyorsabban, magasabbra, erősebben!). Ez a sportolók számára kívánatos célok egy részét fejezi ki (a messzebbre, pontosabban, ügyesebben persze éppígy része lehetne), de arra is utal – s ez az igazi üzenete –hogy minden más szempont a háttérbe szorul, a játékok során csakis a sportolói erények számítanak. (Ezért állították azt az alapelvet is, hogy az olimpiai játékok során az egyéni vagy csapatsportágakban szereplő versenyzők között, és nem a nemzetek között folyik a verseny.</w:t>
      </w:r>
    </w:p>
    <w:p w:rsidR="002B4F9D" w:rsidRDefault="002B4F9D" w:rsidP="002B4F9D">
      <w:pPr>
        <w:rPr>
          <w:rFonts w:ascii="Times New Roman" w:hAnsi="Times New Roman"/>
          <w:b/>
          <w:sz w:val="24"/>
          <w:szCs w:val="24"/>
        </w:rPr>
      </w:pPr>
    </w:p>
    <w:p w:rsidR="002B4F9D" w:rsidRDefault="002B4F9D" w:rsidP="002B4F9D">
      <w:pPr>
        <w:jc w:val="center"/>
        <w:rPr>
          <w:rFonts w:ascii="Times New Roman" w:hAnsi="Times New Roman"/>
          <w:b/>
          <w:sz w:val="24"/>
          <w:szCs w:val="24"/>
        </w:rPr>
      </w:pPr>
      <w:r>
        <w:rPr>
          <w:rFonts w:ascii="Times New Roman" w:hAnsi="Times New Roman"/>
          <w:b/>
          <w:sz w:val="24"/>
          <w:szCs w:val="24"/>
        </w:rPr>
        <w:t>6. évfolyam</w:t>
      </w:r>
    </w:p>
    <w:p w:rsidR="002B4F9D" w:rsidRDefault="002B4F9D" w:rsidP="002B4F9D">
      <w:pPr>
        <w:autoSpaceDE w:val="0"/>
        <w:autoSpaceDN w:val="0"/>
        <w:adjustRightInd w:val="0"/>
        <w:jc w:val="both"/>
        <w:rPr>
          <w:rFonts w:ascii="Times New Roman" w:hAnsi="Times New Roman"/>
          <w:color w:val="000000"/>
          <w:sz w:val="24"/>
          <w:szCs w:val="24"/>
        </w:rPr>
      </w:pPr>
    </w:p>
    <w:p w:rsidR="002B4F9D" w:rsidRDefault="002B4F9D" w:rsidP="002B4F9D">
      <w:pPr>
        <w:autoSpaceDE w:val="0"/>
        <w:autoSpaceDN w:val="0"/>
        <w:adjustRightInd w:val="0"/>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Az általános iskola felső tagozatának alsóbb évfolyamain tanuló sportoló fiatal kétszer féléves tanulási szakaszban ismerkedik az emberiség egyik legnemesebb játékával olimpiaismeret tantárgy keretében. Minden sportoló álma, hogy az olimpiai játékokon a dobogó legmagasabb fokán állva, nemzetének himnusza csendüljön fel győzelmének tiszteletére. Ezért is fontos, hogy legyenek ismereteik arról, hogy mi az olimpia játékok lényege, milyen utat kell bejárni egy sportolónak ahhoz, hogy olimpikonná vagy bajnokká váljanak. Az olimpiaismeret tantárgy keretében az életkori sajátosságok figyelembe vételével ismertetjük meg tanítványainkat az évszázadokon átívelő sport játékok keletkezésével, történetiségével, jelentőségével. Az időutazás során megismerkednek az olimpiai játékok kiemelkedő eseményeivel, bepillantást nyernek az ókor kezdetétől napjainkig tartó játékok szépségeibe, megismerhetik a játékok sporteszközeit, ruházatát, díjazását. A tematikai egységek az évfolyamok sajátosságaihoz igazítva felcserélhetők, a tanulók igényeihez alkalmazkodva változtathatók.</w:t>
      </w:r>
    </w:p>
    <w:p w:rsidR="002B4F9D" w:rsidRDefault="002B4F9D" w:rsidP="002B4F9D">
      <w:pPr>
        <w:spacing w:line="360" w:lineRule="auto"/>
        <w:ind w:firstLine="708"/>
        <w:jc w:val="both"/>
        <w:rPr>
          <w:rFonts w:ascii="Times New Roman" w:hAnsi="Times New Roman"/>
          <w:sz w:val="24"/>
          <w:szCs w:val="24"/>
        </w:rPr>
      </w:pPr>
      <w:r>
        <w:rPr>
          <w:rFonts w:ascii="Times New Roman" w:hAnsi="Times New Roman"/>
          <w:sz w:val="24"/>
          <w:szCs w:val="24"/>
        </w:rPr>
        <w:t>A tantárgy élményközpontú tanulása során a tanulók bepillantást nyernek a sportvilág legrangosabb sporteseményére, megismerik saját tevékenységrendszerük lehetőségeit, sportbéli jövőképük alakulását, képet kapnak nemzetközi sportjátékok személyiségfejlesztő hatásairól, különböző új képességek, készségek kialakulása realizálódik.</w:t>
      </w:r>
    </w:p>
    <w:p w:rsidR="002B4F9D" w:rsidRDefault="002B4F9D" w:rsidP="002B4F9D">
      <w:pPr>
        <w:autoSpaceDE w:val="0"/>
        <w:autoSpaceDN w:val="0"/>
        <w:adjustRightInd w:val="0"/>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Az önismeret és a személyiség fejlesztés kitűnő eszköze a példák és minták megmutatása, az együttműködés szabályainak elsajátíttatása, a kudarc és siker élményeinek feldolgozása, az akaraterővel, kitartással megvalósítható győzelem lehetősége az olimpiaismeret tantárgyként való tanulása-tanítása során.</w:t>
      </w:r>
    </w:p>
    <w:p w:rsidR="002B4F9D" w:rsidRDefault="002B4F9D" w:rsidP="002B4F9D">
      <w:pPr>
        <w:jc w:val="both"/>
        <w:rPr>
          <w:rFonts w:ascii="Times New Roman" w:hAnsi="Times New Roman"/>
          <w:b/>
          <w:sz w:val="24"/>
          <w:szCs w:val="24"/>
        </w:rPr>
      </w:pPr>
    </w:p>
    <w:p w:rsidR="002B4F9D" w:rsidRDefault="002B4F9D" w:rsidP="002B4F9D">
      <w:pPr>
        <w:jc w:val="both"/>
        <w:rPr>
          <w:rFonts w:ascii="Times New Roman" w:hAnsi="Times New Roman"/>
          <w:b/>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30"/>
        <w:gridCol w:w="318"/>
        <w:gridCol w:w="5995"/>
        <w:gridCol w:w="1082"/>
      </w:tblGrid>
      <w:tr w:rsidR="002B4F9D">
        <w:trPr>
          <w:trHeight w:val="572"/>
        </w:trPr>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99"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KI? MIT? TUD? az olimpiáról</w:t>
            </w:r>
          </w:p>
          <w:p w:rsidR="002B4F9D" w:rsidRDefault="002B4F9D">
            <w:pPr>
              <w:spacing w:before="120"/>
              <w:jc w:val="center"/>
              <w:rPr>
                <w:rFonts w:ascii="Times New Roman" w:hAnsi="Times New Roman"/>
                <w:b/>
                <w:sz w:val="24"/>
                <w:szCs w:val="24"/>
              </w:rPr>
            </w:pPr>
            <w:r>
              <w:rPr>
                <w:rFonts w:ascii="Times New Roman" w:hAnsi="Times New Roman"/>
                <w:b/>
                <w:sz w:val="24"/>
                <w:szCs w:val="24"/>
              </w:rPr>
              <w:t>Bevezetés az olimpiai ismeretekbe</w:t>
            </w:r>
          </w:p>
        </w:tc>
        <w:tc>
          <w:tcPr>
            <w:tcW w:w="1083" w:type="dxa"/>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Default="00F75CDB">
            <w:pPr>
              <w:jc w:val="center"/>
              <w:rPr>
                <w:rFonts w:ascii="Times New Roman" w:hAnsi="Times New Roman"/>
                <w:bCs/>
                <w:sz w:val="24"/>
                <w:szCs w:val="24"/>
              </w:rPr>
            </w:pPr>
            <w:r>
              <w:rPr>
                <w:rFonts w:ascii="Times New Roman" w:hAnsi="Times New Roman"/>
                <w:sz w:val="24"/>
                <w:szCs w:val="24"/>
              </w:rPr>
              <w:t>1</w:t>
            </w:r>
            <w:r w:rsidR="002B4F9D">
              <w:rPr>
                <w:rFonts w:ascii="Times New Roman" w:hAnsi="Times New Roman"/>
                <w:sz w:val="24"/>
                <w:szCs w:val="24"/>
              </w:rPr>
              <w:t xml:space="preserve"> óra</w:t>
            </w:r>
          </w:p>
        </w:tc>
      </w:tr>
      <w:tr w:rsidR="002B4F9D">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sz w:val="24"/>
                <w:szCs w:val="24"/>
              </w:rPr>
            </w:pPr>
            <w:r>
              <w:rPr>
                <w:rFonts w:ascii="Times New Roman" w:hAnsi="Times New Roman"/>
                <w:b/>
                <w:bCs/>
                <w:sz w:val="24"/>
                <w:szCs w:val="24"/>
              </w:rPr>
              <w:lastRenderedPageBreak/>
              <w:t>Előzetes tudás</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 xml:space="preserve">A korábban szerzett ismeretek. Sportesemények, fórumok, sportágválasztók tapasztalatai </w:t>
            </w:r>
          </w:p>
        </w:tc>
      </w:tr>
      <w:tr w:rsidR="002B4F9D">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sz w:val="24"/>
                <w:szCs w:val="24"/>
              </w:rPr>
            </w:pPr>
            <w:r>
              <w:rPr>
                <w:rFonts w:ascii="Times New Roman" w:hAnsi="Times New Roman"/>
                <w:b/>
                <w:sz w:val="24"/>
                <w:szCs w:val="24"/>
              </w:rPr>
              <w:t>A tematikai egység nevelési-fejlesztési feladatai, céljai</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Képalkotás az olimpiai mozgalomról</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sz w:val="24"/>
                <w:szCs w:val="24"/>
              </w:rPr>
            </w:pPr>
            <w:r>
              <w:rPr>
                <w:rFonts w:ascii="Times New Roman" w:hAnsi="Times New Roman"/>
                <w:b/>
                <w:bCs/>
                <w:sz w:val="24"/>
                <w:szCs w:val="24"/>
              </w:rPr>
              <w:t>Ismeretek/fejlesztési követelmények</w:t>
            </w:r>
          </w:p>
        </w:tc>
      </w:tr>
      <w:tr w:rsidR="002B4F9D">
        <w:trPr>
          <w:trHeight w:val="1266"/>
        </w:trPr>
        <w:tc>
          <w:tcPr>
            <w:tcW w:w="9231" w:type="dxa"/>
            <w:gridSpan w:val="4"/>
            <w:tcBorders>
              <w:top w:val="single" w:sz="4" w:space="0" w:color="000000"/>
              <w:left w:val="single" w:sz="4" w:space="0" w:color="000000"/>
              <w:bottom w:val="single" w:sz="4" w:space="0" w:color="000000"/>
              <w:right w:val="single" w:sz="4" w:space="0" w:color="000000"/>
            </w:tcBorders>
          </w:tcPr>
          <w:p w:rsidR="002B4F9D" w:rsidRDefault="002B4F9D">
            <w:pPr>
              <w:spacing w:before="120"/>
              <w:ind w:left="284"/>
              <w:contextualSpacing/>
              <w:jc w:val="both"/>
              <w:rPr>
                <w:rFonts w:ascii="Times New Roman" w:hAnsi="Times New Roman"/>
                <w:sz w:val="24"/>
                <w:szCs w:val="24"/>
              </w:rPr>
            </w:pPr>
            <w:r>
              <w:rPr>
                <w:rFonts w:ascii="Times New Roman" w:hAnsi="Times New Roman"/>
                <w:sz w:val="24"/>
                <w:szCs w:val="24"/>
              </w:rPr>
              <w:t>Történelmi barangolás az olimpiai mozgalom kialakulásáról</w:t>
            </w:r>
          </w:p>
          <w:p w:rsidR="002B4F9D" w:rsidRDefault="002B4F9D">
            <w:pPr>
              <w:spacing w:before="120"/>
              <w:rPr>
                <w:rFonts w:ascii="Times New Roman" w:hAnsi="Times New Roman"/>
                <w:sz w:val="24"/>
                <w:szCs w:val="24"/>
              </w:rPr>
            </w:pPr>
          </w:p>
        </w:tc>
      </w:tr>
      <w:tr w:rsidR="002B4F9D">
        <w:tc>
          <w:tcPr>
            <w:tcW w:w="183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tcPr>
          <w:p w:rsidR="002B4F9D" w:rsidRDefault="002B4F9D">
            <w:pPr>
              <w:spacing w:before="120"/>
              <w:rPr>
                <w:rFonts w:ascii="Times New Roman" w:hAnsi="Times New Roman"/>
                <w:sz w:val="24"/>
                <w:szCs w:val="24"/>
              </w:rPr>
            </w:pPr>
            <w:r>
              <w:rPr>
                <w:rFonts w:ascii="Times New Roman" w:hAnsi="Times New Roman"/>
                <w:sz w:val="24"/>
                <w:szCs w:val="24"/>
              </w:rPr>
              <w:t xml:space="preserve">Ókor, Olimpia, Olümpia, Versenyszámok, újkor, </w:t>
            </w:r>
          </w:p>
          <w:p w:rsidR="002B4F9D" w:rsidRDefault="002B4F9D">
            <w:pPr>
              <w:spacing w:before="120"/>
              <w:rPr>
                <w:rFonts w:ascii="Times New Roman" w:hAnsi="Times New Roman"/>
                <w:i/>
                <w:sz w:val="24"/>
                <w:szCs w:val="24"/>
              </w:rPr>
            </w:pPr>
          </w:p>
        </w:tc>
      </w:tr>
      <w:tr w:rsidR="002B4F9D">
        <w:trPr>
          <w:trHeight w:val="572"/>
        </w:trPr>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99" w:type="dxa"/>
            <w:tcBorders>
              <w:top w:val="single" w:sz="4" w:space="0" w:color="000000"/>
              <w:left w:val="single" w:sz="4" w:space="0" w:color="000000"/>
              <w:bottom w:val="single" w:sz="4" w:space="0" w:color="000000"/>
              <w:right w:val="single" w:sz="4" w:space="0" w:color="000000"/>
            </w:tcBorders>
            <w:vAlign w:val="center"/>
          </w:tcPr>
          <w:p w:rsidR="002B4F9D" w:rsidRDefault="002B4F9D">
            <w:pPr>
              <w:spacing w:before="120"/>
              <w:contextualSpacing/>
              <w:jc w:val="both"/>
              <w:rPr>
                <w:rFonts w:ascii="Times New Roman" w:hAnsi="Times New Roman"/>
                <w:sz w:val="24"/>
                <w:szCs w:val="24"/>
              </w:rPr>
            </w:pPr>
            <w:r>
              <w:rPr>
                <w:rFonts w:ascii="Times New Roman" w:hAnsi="Times New Roman"/>
                <w:sz w:val="24"/>
                <w:szCs w:val="24"/>
              </w:rPr>
              <w:t>Az ókori olimpiai játékok történelmi eredete, lefolyása, programja, versenyszámainak megismerése</w:t>
            </w:r>
          </w:p>
          <w:p w:rsidR="002B4F9D" w:rsidRDefault="002B4F9D">
            <w:pPr>
              <w:spacing w:before="120"/>
              <w:rPr>
                <w:rFonts w:ascii="Times New Roman" w:hAnsi="Times New Roman"/>
                <w:b/>
                <w:sz w:val="24"/>
                <w:szCs w:val="24"/>
              </w:rPr>
            </w:pPr>
          </w:p>
        </w:tc>
        <w:tc>
          <w:tcPr>
            <w:tcW w:w="1083" w:type="dxa"/>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Default="00F75CDB">
            <w:pPr>
              <w:jc w:val="center"/>
              <w:rPr>
                <w:rFonts w:ascii="Times New Roman" w:hAnsi="Times New Roman"/>
                <w:bCs/>
                <w:sz w:val="24"/>
                <w:szCs w:val="24"/>
              </w:rPr>
            </w:pPr>
            <w:r>
              <w:rPr>
                <w:rFonts w:ascii="Times New Roman" w:hAnsi="Times New Roman"/>
                <w:sz w:val="24"/>
                <w:szCs w:val="24"/>
              </w:rPr>
              <w:t>1</w:t>
            </w:r>
            <w:r w:rsidR="002B4F9D">
              <w:rPr>
                <w:rFonts w:ascii="Times New Roman" w:hAnsi="Times New Roman"/>
                <w:sz w:val="24"/>
                <w:szCs w:val="24"/>
              </w:rPr>
              <w:t xml:space="preserve"> óra</w:t>
            </w:r>
          </w:p>
        </w:tc>
      </w:tr>
      <w:tr w:rsidR="002B4F9D">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sz w:val="24"/>
                <w:szCs w:val="24"/>
              </w:rPr>
            </w:pPr>
            <w:r>
              <w:rPr>
                <w:rFonts w:ascii="Times New Roman" w:hAnsi="Times New Roman"/>
                <w:b/>
                <w:bCs/>
                <w:sz w:val="24"/>
                <w:szCs w:val="24"/>
              </w:rPr>
              <w:t>Előzetes tudás</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 xml:space="preserve">Szómagyarázat, történelmi ismeretek, </w:t>
            </w:r>
          </w:p>
        </w:tc>
      </w:tr>
      <w:tr w:rsidR="002B4F9D">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sz w:val="24"/>
                <w:szCs w:val="24"/>
              </w:rPr>
            </w:pPr>
            <w:r>
              <w:rPr>
                <w:rFonts w:ascii="Times New Roman" w:hAnsi="Times New Roman"/>
                <w:b/>
                <w:sz w:val="24"/>
                <w:szCs w:val="24"/>
              </w:rPr>
              <w:t>A tematikai egység nevelési-fejlesztési feladatai, céljai</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 xml:space="preserve">A játékok keletkezésének megismerése, a kor sajátosságainak felfedezése. Reproduktív szövegalkotás adott témáról, ismeretszerzés, ismeretbővítés </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sz w:val="24"/>
                <w:szCs w:val="24"/>
              </w:rPr>
            </w:pPr>
            <w:r>
              <w:rPr>
                <w:rFonts w:ascii="Times New Roman" w:hAnsi="Times New Roman"/>
                <w:b/>
                <w:sz w:val="24"/>
                <w:szCs w:val="24"/>
              </w:rPr>
              <w:t>Ismeretek/fejlesztési követelmények</w:t>
            </w:r>
          </w:p>
        </w:tc>
      </w:tr>
      <w:tr w:rsidR="002B4F9D">
        <w:trPr>
          <w:trHeight w:val="1411"/>
        </w:trPr>
        <w:tc>
          <w:tcPr>
            <w:tcW w:w="9231" w:type="dxa"/>
            <w:gridSpan w:val="4"/>
            <w:tcBorders>
              <w:top w:val="single" w:sz="4" w:space="0" w:color="000000"/>
              <w:left w:val="single" w:sz="4" w:space="0" w:color="000000"/>
              <w:bottom w:val="single" w:sz="4" w:space="0" w:color="000000"/>
              <w:right w:val="single" w:sz="4" w:space="0" w:color="000000"/>
            </w:tcBorders>
            <w:hideMark/>
          </w:tcPr>
          <w:p w:rsidR="002B4F9D" w:rsidRDefault="002B4F9D">
            <w:pPr>
              <w:spacing w:before="120"/>
              <w:ind w:left="284"/>
              <w:contextualSpacing/>
              <w:jc w:val="both"/>
              <w:rPr>
                <w:rFonts w:ascii="Times New Roman" w:hAnsi="Times New Roman"/>
                <w:sz w:val="24"/>
                <w:szCs w:val="24"/>
              </w:rPr>
            </w:pPr>
            <w:r>
              <w:rPr>
                <w:rFonts w:ascii="Times New Roman" w:hAnsi="Times New Roman"/>
                <w:sz w:val="24"/>
                <w:szCs w:val="24"/>
              </w:rPr>
              <w:t>Az olimpiai mozgalom kialakulása</w:t>
            </w:r>
          </w:p>
          <w:p w:rsidR="002B4F9D" w:rsidRDefault="002B4F9D">
            <w:pPr>
              <w:spacing w:before="120"/>
              <w:ind w:left="284"/>
              <w:contextualSpacing/>
              <w:jc w:val="both"/>
              <w:rPr>
                <w:rFonts w:ascii="Times New Roman" w:hAnsi="Times New Roman"/>
                <w:sz w:val="24"/>
                <w:szCs w:val="24"/>
              </w:rPr>
            </w:pPr>
            <w:r>
              <w:rPr>
                <w:rFonts w:ascii="Times New Roman" w:hAnsi="Times New Roman"/>
                <w:sz w:val="24"/>
                <w:szCs w:val="24"/>
              </w:rPr>
              <w:t>Az ókori olimpiai játékok történelmi eredete, lefolyása, programja, versenyszámai.</w:t>
            </w:r>
          </w:p>
          <w:p w:rsidR="002B4F9D" w:rsidRDefault="002B4F9D">
            <w:pPr>
              <w:spacing w:before="120"/>
              <w:rPr>
                <w:rFonts w:ascii="Times New Roman" w:hAnsi="Times New Roman"/>
                <w:sz w:val="24"/>
                <w:szCs w:val="24"/>
              </w:rPr>
            </w:pPr>
            <w:r>
              <w:rPr>
                <w:rFonts w:ascii="Times New Roman" w:hAnsi="Times New Roman"/>
                <w:sz w:val="24"/>
                <w:szCs w:val="24"/>
              </w:rPr>
              <w:t>(Játékok, eszközök, ruházat, díjak)</w:t>
            </w:r>
          </w:p>
        </w:tc>
      </w:tr>
      <w:tr w:rsidR="002B4F9D">
        <w:tc>
          <w:tcPr>
            <w:tcW w:w="183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i/>
                <w:sz w:val="24"/>
                <w:szCs w:val="24"/>
              </w:rPr>
            </w:pPr>
            <w:r>
              <w:rPr>
                <w:rFonts w:ascii="Times New Roman" w:hAnsi="Times New Roman"/>
                <w:sz w:val="24"/>
                <w:szCs w:val="24"/>
              </w:rPr>
              <w:t>Ókor, Olimpia, Olümpia, Versenyszámok</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30"/>
        <w:gridCol w:w="241"/>
        <w:gridCol w:w="5984"/>
        <w:gridCol w:w="1170"/>
      </w:tblGrid>
      <w:tr w:rsidR="002B4F9D">
        <w:trPr>
          <w:trHeight w:val="572"/>
        </w:trPr>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88"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Az újkori olimpiai mozgalom megalakulása, fejlődéstörténete</w:t>
            </w:r>
          </w:p>
        </w:tc>
        <w:tc>
          <w:tcPr>
            <w:tcW w:w="117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Default="00F75CDB">
            <w:pPr>
              <w:jc w:val="center"/>
              <w:rPr>
                <w:rFonts w:ascii="Times New Roman" w:hAnsi="Times New Roman"/>
                <w:bCs/>
                <w:sz w:val="24"/>
                <w:szCs w:val="24"/>
              </w:rPr>
            </w:pPr>
            <w:r>
              <w:rPr>
                <w:rFonts w:ascii="Times New Roman" w:hAnsi="Times New Roman"/>
                <w:sz w:val="24"/>
                <w:szCs w:val="24"/>
              </w:rPr>
              <w:t>4</w:t>
            </w:r>
            <w:r w:rsidR="002B4F9D">
              <w:rPr>
                <w:rFonts w:ascii="Times New Roman" w:hAnsi="Times New Roman"/>
                <w:sz w:val="24"/>
                <w:szCs w:val="24"/>
              </w:rPr>
              <w:t xml:space="preserve"> óra</w:t>
            </w:r>
          </w:p>
        </w:tc>
      </w:tr>
      <w:tr w:rsidR="002B4F9D">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Előzetes tudás</w:t>
            </w:r>
          </w:p>
        </w:tc>
        <w:tc>
          <w:tcPr>
            <w:tcW w:w="7159"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Az olimpia kialakulása, helyszíne, főbb eseményei</w:t>
            </w:r>
          </w:p>
        </w:tc>
      </w:tr>
      <w:tr w:rsidR="002B4F9D">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A tematikai egység nevelési-fejlesztési feladatai, céljai</w:t>
            </w:r>
          </w:p>
        </w:tc>
        <w:tc>
          <w:tcPr>
            <w:tcW w:w="7159"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hd w:val="clear" w:color="auto" w:fill="FFFFFF"/>
              <w:spacing w:after="125"/>
              <w:ind w:left="125"/>
              <w:textAlignment w:val="baseline"/>
              <w:outlineLvl w:val="2"/>
              <w:rPr>
                <w:rFonts w:ascii="Verdana" w:hAnsi="Verdana"/>
                <w:color w:val="111111"/>
                <w:sz w:val="18"/>
                <w:szCs w:val="18"/>
                <w:lang w:eastAsia="hu-HU"/>
              </w:rPr>
            </w:pPr>
            <w:r>
              <w:rPr>
                <w:rFonts w:ascii="Times New Roman" w:hAnsi="Times New Roman"/>
                <w:b/>
                <w:bCs/>
                <w:sz w:val="24"/>
                <w:szCs w:val="24"/>
                <w:lang w:eastAsia="hu-HU"/>
              </w:rPr>
              <w:t>Az olimpiai játékok életre hívása,</w:t>
            </w:r>
          </w:p>
          <w:p w:rsidR="002B4F9D" w:rsidRDefault="002B4F9D">
            <w:pPr>
              <w:spacing w:before="120"/>
              <w:rPr>
                <w:rFonts w:ascii="Times New Roman" w:hAnsi="Times New Roman"/>
                <w:sz w:val="24"/>
                <w:szCs w:val="24"/>
              </w:rPr>
            </w:pPr>
            <w:r>
              <w:rPr>
                <w:rFonts w:ascii="Times New Roman" w:hAnsi="Times New Roman"/>
                <w:sz w:val="24"/>
                <w:szCs w:val="24"/>
              </w:rPr>
              <w:t>Pierre de Coubertin szerepe és munkássága. Helyszínek, eredményesség, nyári-téli olimpiák.</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sz w:val="24"/>
                <w:szCs w:val="24"/>
              </w:rPr>
            </w:pPr>
            <w:r>
              <w:rPr>
                <w:rFonts w:ascii="Times New Roman" w:hAnsi="Times New Roman"/>
                <w:b/>
                <w:bCs/>
                <w:sz w:val="24"/>
                <w:szCs w:val="24"/>
              </w:rPr>
              <w:t>Ismeretek/fejlesztési követelmények</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hideMark/>
          </w:tcPr>
          <w:p w:rsidR="002B4F9D" w:rsidRDefault="002B4F9D">
            <w:pPr>
              <w:rPr>
                <w:rFonts w:ascii="Times New Roman" w:hAnsi="Times New Roman"/>
                <w:sz w:val="24"/>
                <w:szCs w:val="24"/>
              </w:rPr>
            </w:pPr>
            <w:r>
              <w:rPr>
                <w:rFonts w:ascii="Times New Roman" w:hAnsi="Times New Roman"/>
                <w:bCs/>
                <w:sz w:val="24"/>
                <w:szCs w:val="24"/>
              </w:rPr>
              <w:t>A modernkori olimpia kialakulása, fejlődéstörténete. Az újkori olimpiai mozgalom megalakulásának előzményei és folyamata</w:t>
            </w:r>
          </w:p>
        </w:tc>
      </w:tr>
      <w:tr w:rsidR="002B4F9D">
        <w:tc>
          <w:tcPr>
            <w:tcW w:w="183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Cs/>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fejlődéstörténet, újkor, mozgalom</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26"/>
        <w:gridCol w:w="286"/>
        <w:gridCol w:w="5921"/>
        <w:gridCol w:w="1192"/>
      </w:tblGrid>
      <w:tr w:rsidR="002B4F9D">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25"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contextualSpacing/>
              <w:jc w:val="both"/>
              <w:rPr>
                <w:rFonts w:ascii="Times New Roman" w:hAnsi="Times New Roman"/>
                <w:b/>
                <w:sz w:val="24"/>
                <w:szCs w:val="24"/>
              </w:rPr>
            </w:pPr>
            <w:r>
              <w:rPr>
                <w:rFonts w:ascii="Times New Roman" w:hAnsi="Times New Roman"/>
                <w:b/>
                <w:sz w:val="24"/>
                <w:szCs w:val="24"/>
              </w:rPr>
              <w:t>Az olimpiai mozgalom hazai és nemzetközi szervei</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Default="0018440E">
            <w:pPr>
              <w:jc w:val="center"/>
              <w:rPr>
                <w:rFonts w:ascii="Times New Roman" w:hAnsi="Times New Roman"/>
                <w:bCs/>
                <w:sz w:val="24"/>
                <w:szCs w:val="24"/>
              </w:rPr>
            </w:pPr>
            <w:r>
              <w:rPr>
                <w:rFonts w:ascii="Times New Roman" w:hAnsi="Times New Roman"/>
                <w:sz w:val="24"/>
                <w:szCs w:val="24"/>
              </w:rPr>
              <w:t>2</w:t>
            </w:r>
            <w:r w:rsidR="002B4F9D">
              <w:rPr>
                <w:rFonts w:ascii="Times New Roman" w:hAnsi="Times New Roman"/>
                <w:sz w:val="24"/>
                <w:szCs w:val="24"/>
              </w:rPr>
              <w:t xml:space="preserve"> óra</w:t>
            </w:r>
          </w:p>
        </w:tc>
      </w:tr>
      <w:tr w:rsidR="002B4F9D">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bCs/>
                <w:sz w:val="24"/>
                <w:szCs w:val="24"/>
              </w:rPr>
              <w:t>Előzetes tudás</w:t>
            </w:r>
          </w:p>
        </w:tc>
        <w:tc>
          <w:tcPr>
            <w:tcW w:w="7118"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Az olimpiamozgalom kialakulása. Szómagyarázat</w:t>
            </w:r>
          </w:p>
        </w:tc>
      </w:tr>
      <w:tr w:rsidR="002B4F9D">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lastRenderedPageBreak/>
              <w:t>A tematikai egység nevelési-fejlesztési feladatai, céljai</w:t>
            </w:r>
          </w:p>
        </w:tc>
        <w:tc>
          <w:tcPr>
            <w:tcW w:w="7118"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Bepillantás a modern olimpiai játékok szervezési feladatrendszerébe, a feladatot ellátó testületek munkáinak megismerése</w:t>
            </w:r>
          </w:p>
        </w:tc>
      </w:tr>
      <w:tr w:rsidR="002B4F9D">
        <w:trPr>
          <w:trHeight w:val="170"/>
        </w:trPr>
        <w:tc>
          <w:tcPr>
            <w:tcW w:w="9231" w:type="dxa"/>
            <w:gridSpan w:val="4"/>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b/>
                <w:bCs/>
                <w:sz w:val="24"/>
                <w:szCs w:val="24"/>
              </w:rPr>
              <w:t>Ismeretek/fejlesztési követelmények</w:t>
            </w:r>
          </w:p>
        </w:tc>
      </w:tr>
      <w:tr w:rsidR="002B4F9D">
        <w:trPr>
          <w:trHeight w:val="170"/>
        </w:trPr>
        <w:tc>
          <w:tcPr>
            <w:tcW w:w="9231" w:type="dxa"/>
            <w:gridSpan w:val="4"/>
            <w:tcBorders>
              <w:top w:val="single" w:sz="4" w:space="0" w:color="000000"/>
              <w:left w:val="single" w:sz="4" w:space="0" w:color="000000"/>
              <w:bottom w:val="single" w:sz="4" w:space="0" w:color="000000"/>
              <w:right w:val="single" w:sz="4" w:space="0" w:color="000000"/>
            </w:tcBorders>
            <w:hideMark/>
          </w:tcPr>
          <w:p w:rsidR="002B4F9D" w:rsidRDefault="002B4F9D">
            <w:pPr>
              <w:jc w:val="both"/>
              <w:rPr>
                <w:rFonts w:ascii="Times New Roman" w:hAnsi="Times New Roman"/>
                <w:sz w:val="24"/>
                <w:szCs w:val="24"/>
              </w:rPr>
            </w:pPr>
            <w:r>
              <w:rPr>
                <w:rFonts w:ascii="Times New Roman" w:hAnsi="Times New Roman"/>
                <w:sz w:val="24"/>
                <w:szCs w:val="24"/>
              </w:rPr>
              <w:t>Információk reprodukálása, önálló felidézése. Élményközpontú ábrázolás</w:t>
            </w:r>
          </w:p>
        </w:tc>
      </w:tr>
      <w:tr w:rsidR="002B4F9D">
        <w:tc>
          <w:tcPr>
            <w:tcW w:w="1827"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Kulcsfogalmak</w:t>
            </w:r>
          </w:p>
        </w:tc>
        <w:tc>
          <w:tcPr>
            <w:tcW w:w="7404"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Szervek, szervezetek, Magyar Olimpiai Bizottság, Nemzetközi Olimpiai Bizottság, feladatrendszer</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84"/>
        <w:gridCol w:w="222"/>
        <w:gridCol w:w="5930"/>
        <w:gridCol w:w="1189"/>
      </w:tblGrid>
      <w:tr w:rsidR="002B4F9D">
        <w:trPr>
          <w:trHeight w:val="572"/>
        </w:trPr>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34"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Az olimpiai mozgalom szimbólumai</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Default="0018440E">
            <w:pPr>
              <w:jc w:val="center"/>
              <w:rPr>
                <w:rFonts w:ascii="Times New Roman" w:hAnsi="Times New Roman"/>
                <w:bCs/>
                <w:sz w:val="24"/>
                <w:szCs w:val="24"/>
              </w:rPr>
            </w:pPr>
            <w:r>
              <w:rPr>
                <w:rFonts w:ascii="Times New Roman" w:hAnsi="Times New Roman"/>
                <w:sz w:val="24"/>
                <w:szCs w:val="24"/>
              </w:rPr>
              <w:t>2</w:t>
            </w:r>
            <w:r w:rsidR="002B4F9D">
              <w:rPr>
                <w:rFonts w:ascii="Times New Roman" w:hAnsi="Times New Roman"/>
                <w:sz w:val="24"/>
                <w:szCs w:val="24"/>
              </w:rPr>
              <w:t xml:space="preserve"> óra</w:t>
            </w:r>
          </w:p>
        </w:tc>
      </w:tr>
      <w:tr w:rsidR="002B4F9D">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bCs/>
                <w:sz w:val="24"/>
                <w:szCs w:val="24"/>
              </w:rPr>
              <w:t>Előzetes tudás</w:t>
            </w:r>
          </w:p>
        </w:tc>
        <w:tc>
          <w:tcPr>
            <w:tcW w:w="712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szóismeret, jelkép, összetartozás</w:t>
            </w:r>
          </w:p>
        </w:tc>
      </w:tr>
      <w:tr w:rsidR="002B4F9D">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sz w:val="24"/>
                <w:szCs w:val="24"/>
              </w:rPr>
              <w:t>A tematikai egység nevelési-fejlesztési feladatai, céljai</w:t>
            </w:r>
          </w:p>
        </w:tc>
        <w:tc>
          <w:tcPr>
            <w:tcW w:w="712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Az olimpiai játékok során alkalmazott jelképek, szimbólumok egyetemes jelentőségének megismerése, jelentésük tartalmának ismerete</w:t>
            </w:r>
          </w:p>
        </w:tc>
      </w:tr>
      <w:tr w:rsidR="002B4F9D">
        <w:trPr>
          <w:trHeight w:val="224"/>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bCs/>
                <w:sz w:val="24"/>
                <w:szCs w:val="24"/>
              </w:rPr>
              <w:t>Ismeretek/fejlesztési követelmények</w:t>
            </w:r>
          </w:p>
        </w:tc>
      </w:tr>
      <w:tr w:rsidR="002B4F9D">
        <w:trPr>
          <w:trHeight w:val="930"/>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rPr>
                <w:rFonts w:ascii="Times New Roman" w:hAnsi="Times New Roman"/>
                <w:sz w:val="24"/>
                <w:szCs w:val="24"/>
              </w:rPr>
            </w:pPr>
            <w:r>
              <w:rPr>
                <w:rFonts w:ascii="Times New Roman" w:hAnsi="Times New Roman"/>
                <w:sz w:val="24"/>
                <w:szCs w:val="24"/>
              </w:rPr>
              <w:t>Az olimpiai szimbólumok meghatározása, felismerése, használatának, alkalmazásának ismerete. Keletkezésük megismerése.</w:t>
            </w:r>
          </w:p>
          <w:p w:rsidR="002B4F9D" w:rsidRDefault="002B4F9D">
            <w:pPr>
              <w:spacing w:before="120"/>
              <w:jc w:val="both"/>
              <w:rPr>
                <w:rFonts w:ascii="Times New Roman" w:hAnsi="Times New Roman"/>
                <w:sz w:val="24"/>
                <w:szCs w:val="24"/>
              </w:rPr>
            </w:pPr>
            <w:r>
              <w:rPr>
                <w:rFonts w:ascii="Times New Roman" w:hAnsi="Times New Roman"/>
                <w:sz w:val="24"/>
                <w:szCs w:val="24"/>
              </w:rPr>
              <w:t>A szimbólumok jelentősége, jelentésük ismerete</w:t>
            </w:r>
          </w:p>
        </w:tc>
      </w:tr>
      <w:tr w:rsidR="002B4F9D">
        <w:tc>
          <w:tcPr>
            <w:tcW w:w="1885"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Cs/>
                <w:sz w:val="24"/>
                <w:szCs w:val="24"/>
              </w:rPr>
            </w:pPr>
            <w:r>
              <w:rPr>
                <w:rFonts w:ascii="Times New Roman" w:hAnsi="Times New Roman"/>
                <w:b/>
                <w:sz w:val="24"/>
                <w:szCs w:val="24"/>
              </w:rPr>
              <w:t>Kulcsfogalmak</w:t>
            </w:r>
          </w:p>
        </w:tc>
        <w:tc>
          <w:tcPr>
            <w:tcW w:w="7346"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olimpiai ötkarika olimpiai zászló, nyitóünnepség, záróünnepség, jelmondat, olimpiai eskü, olimpiai láng, olimpiai kabala, olimpiai jelvény, olimpiai himnusz</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55"/>
        <w:gridCol w:w="281"/>
        <w:gridCol w:w="6007"/>
        <w:gridCol w:w="1082"/>
      </w:tblGrid>
      <w:tr w:rsidR="002B4F9D">
        <w:trPr>
          <w:trHeight w:val="572"/>
        </w:trPr>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601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Olimpiai sportágak</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 xml:space="preserve">Órakeret </w:t>
            </w:r>
            <w:r w:rsidR="0018440E">
              <w:rPr>
                <w:rFonts w:ascii="Times New Roman" w:hAnsi="Times New Roman"/>
                <w:sz w:val="24"/>
                <w:szCs w:val="24"/>
              </w:rPr>
              <w:t xml:space="preserve">3 </w:t>
            </w:r>
            <w:r>
              <w:rPr>
                <w:rFonts w:ascii="Times New Roman" w:hAnsi="Times New Roman"/>
                <w:sz w:val="24"/>
                <w:szCs w:val="24"/>
              </w:rPr>
              <w:t>óra</w:t>
            </w:r>
          </w:p>
        </w:tc>
      </w:tr>
      <w:tr w:rsidR="002B4F9D">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bCs/>
                <w:sz w:val="24"/>
                <w:szCs w:val="24"/>
              </w:rPr>
              <w:t>Előzetes tudás</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A mindennapi életben megtapasztalt és megismert sportágak</w:t>
            </w:r>
          </w:p>
        </w:tc>
      </w:tr>
      <w:tr w:rsidR="002B4F9D">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A tematikai egység nevelési-fejlesztési feladatai, céljai</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both"/>
              <w:rPr>
                <w:rFonts w:ascii="Times New Roman" w:hAnsi="Times New Roman"/>
                <w:sz w:val="24"/>
                <w:szCs w:val="24"/>
              </w:rPr>
            </w:pPr>
            <w:r>
              <w:rPr>
                <w:rFonts w:ascii="Times New Roman" w:hAnsi="Times New Roman"/>
                <w:sz w:val="24"/>
                <w:szCs w:val="24"/>
              </w:rPr>
              <w:t xml:space="preserve">Fogalom meghatározás, időszakok ismerete, olimpiai sportágak megismerése, törölt sportágak megismerése, elfogadott sportágak, jelenlegi spotágak, </w:t>
            </w:r>
          </w:p>
        </w:tc>
      </w:tr>
      <w:tr w:rsidR="002B4F9D">
        <w:trPr>
          <w:trHeight w:val="264"/>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sz w:val="24"/>
                <w:szCs w:val="24"/>
              </w:rPr>
            </w:pPr>
            <w:r>
              <w:rPr>
                <w:rFonts w:ascii="Times New Roman" w:hAnsi="Times New Roman"/>
                <w:b/>
                <w:sz w:val="24"/>
                <w:szCs w:val="24"/>
              </w:rPr>
              <w:t>Ismeretek/fejlesztési követelmények</w:t>
            </w:r>
          </w:p>
        </w:tc>
      </w:tr>
      <w:tr w:rsidR="002B4F9D">
        <w:trPr>
          <w:trHeight w:val="810"/>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rPr>
                <w:rFonts w:ascii="Times New Roman" w:hAnsi="Times New Roman"/>
                <w:b/>
                <w:sz w:val="24"/>
                <w:szCs w:val="24"/>
              </w:rPr>
            </w:pPr>
            <w:r>
              <w:rPr>
                <w:rFonts w:ascii="Times New Roman" w:hAnsi="Times New Roman"/>
                <w:sz w:val="24"/>
                <w:szCs w:val="24"/>
              </w:rPr>
              <w:t>A tematikus egysége feldolgozása lehetőséget biztosít az olimpiák időszaki megismerésére, megismeri és felismeri a különböző olimpiai sportágak legjellemzőbb ismérveit, eszközeit, ruházatát. Szabályismeret tudatosítása, szabálykövetés. együttműködési képességek fejlesztése</w:t>
            </w:r>
          </w:p>
        </w:tc>
      </w:tr>
      <w:tr w:rsidR="002B4F9D">
        <w:tc>
          <w:tcPr>
            <w:tcW w:w="1856" w:type="dxa"/>
            <w:tcBorders>
              <w:top w:val="single" w:sz="4" w:space="0" w:color="000000"/>
              <w:left w:val="single" w:sz="4" w:space="0" w:color="000000"/>
              <w:bottom w:val="single" w:sz="4" w:space="0" w:color="000000"/>
              <w:right w:val="single" w:sz="4" w:space="0" w:color="000000"/>
            </w:tcBorders>
            <w:hideMark/>
          </w:tcPr>
          <w:p w:rsidR="002B4F9D" w:rsidRDefault="002B4F9D">
            <w:pPr>
              <w:spacing w:before="60"/>
              <w:contextualSpacing/>
              <w:jc w:val="center"/>
              <w:rPr>
                <w:rFonts w:ascii="Times New Roman" w:hAnsi="Times New Roman"/>
                <w:sz w:val="24"/>
                <w:szCs w:val="24"/>
              </w:rPr>
            </w:pPr>
            <w:r>
              <w:rPr>
                <w:rFonts w:ascii="Times New Roman" w:hAnsi="Times New Roman"/>
                <w:b/>
                <w:sz w:val="24"/>
                <w:szCs w:val="24"/>
              </w:rPr>
              <w:t>Kulcsfogalmak</w:t>
            </w:r>
          </w:p>
        </w:tc>
        <w:tc>
          <w:tcPr>
            <w:tcW w:w="7375"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versenyszám, szakág, szövetség, MOB, NOB, nyári olimpia, téli olimpia</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55"/>
        <w:gridCol w:w="232"/>
        <w:gridCol w:w="5959"/>
        <w:gridCol w:w="1179"/>
      </w:tblGrid>
      <w:tr w:rsidR="002B4F9D">
        <w:trPr>
          <w:trHeight w:val="572"/>
        </w:trPr>
        <w:tc>
          <w:tcPr>
            <w:tcW w:w="2088"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63" w:type="dxa"/>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Eredményességi mutatók</w:t>
            </w:r>
          </w:p>
          <w:p w:rsidR="002B4F9D" w:rsidRDefault="002B4F9D">
            <w:pPr>
              <w:spacing w:before="120"/>
              <w:jc w:val="center"/>
              <w:rPr>
                <w:rFonts w:ascii="Times New Roman" w:hAnsi="Times New Roman"/>
                <w:b/>
                <w:sz w:val="24"/>
                <w:szCs w:val="24"/>
              </w:rPr>
            </w:pPr>
            <w:r>
              <w:rPr>
                <w:rFonts w:ascii="Times New Roman" w:hAnsi="Times New Roman"/>
                <w:b/>
                <w:sz w:val="24"/>
                <w:szCs w:val="24"/>
              </w:rPr>
              <w:t>Hazai és nemzetközi kitekintés</w:t>
            </w:r>
          </w:p>
        </w:tc>
        <w:tc>
          <w:tcPr>
            <w:tcW w:w="1180" w:type="dxa"/>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Órakeret</w:t>
            </w:r>
          </w:p>
          <w:p w:rsidR="002B4F9D" w:rsidRPr="00AC1E52" w:rsidRDefault="0018440E">
            <w:pPr>
              <w:jc w:val="center"/>
              <w:rPr>
                <w:rFonts w:ascii="Times New Roman" w:hAnsi="Times New Roman"/>
                <w:bCs/>
                <w:color w:val="FF0000"/>
                <w:sz w:val="24"/>
                <w:szCs w:val="24"/>
              </w:rPr>
            </w:pPr>
            <w:r>
              <w:rPr>
                <w:rFonts w:ascii="Times New Roman" w:hAnsi="Times New Roman"/>
                <w:sz w:val="24"/>
                <w:szCs w:val="24"/>
              </w:rPr>
              <w:t>2</w:t>
            </w:r>
            <w:r w:rsidR="002B4F9D">
              <w:rPr>
                <w:rFonts w:ascii="Times New Roman" w:hAnsi="Times New Roman"/>
                <w:sz w:val="24"/>
                <w:szCs w:val="24"/>
              </w:rPr>
              <w:t xml:space="preserve"> óra</w:t>
            </w:r>
            <w:r w:rsidR="00AF3746">
              <w:rPr>
                <w:rFonts w:ascii="Times New Roman" w:hAnsi="Times New Roman"/>
                <w:sz w:val="24"/>
                <w:szCs w:val="24"/>
              </w:rPr>
              <w:t xml:space="preserve"> </w:t>
            </w:r>
            <w:r w:rsidR="00AF3746">
              <w:rPr>
                <w:rFonts w:ascii="Times New Roman" w:hAnsi="Times New Roman"/>
                <w:color w:val="FF0000"/>
                <w:sz w:val="24"/>
                <w:szCs w:val="24"/>
              </w:rPr>
              <w:t>+</w:t>
            </w:r>
            <w:r w:rsidR="00AC1E52">
              <w:rPr>
                <w:rFonts w:ascii="Times New Roman" w:hAnsi="Times New Roman"/>
                <w:sz w:val="24"/>
                <w:szCs w:val="24"/>
              </w:rPr>
              <w:t xml:space="preserve"> </w:t>
            </w:r>
            <w:r w:rsidR="00AC1E52">
              <w:rPr>
                <w:rFonts w:ascii="Times New Roman" w:hAnsi="Times New Roman"/>
                <w:color w:val="FF0000"/>
                <w:sz w:val="24"/>
                <w:szCs w:val="24"/>
              </w:rPr>
              <w:t>1 óra</w:t>
            </w:r>
          </w:p>
        </w:tc>
      </w:tr>
      <w:tr w:rsidR="002B4F9D">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2B4F9D" w:rsidRDefault="002B4F9D">
            <w:pPr>
              <w:jc w:val="center"/>
              <w:rPr>
                <w:rFonts w:ascii="Times New Roman" w:hAnsi="Times New Roman"/>
                <w:b/>
                <w:bCs/>
                <w:sz w:val="24"/>
                <w:szCs w:val="24"/>
              </w:rPr>
            </w:pPr>
          </w:p>
          <w:p w:rsidR="002B4F9D" w:rsidRDefault="002B4F9D">
            <w:pPr>
              <w:jc w:val="center"/>
              <w:rPr>
                <w:rFonts w:ascii="Times New Roman" w:hAnsi="Times New Roman"/>
                <w:sz w:val="24"/>
                <w:szCs w:val="24"/>
              </w:rPr>
            </w:pPr>
            <w:r>
              <w:rPr>
                <w:rFonts w:ascii="Times New Roman" w:hAnsi="Times New Roman"/>
                <w:b/>
                <w:bCs/>
                <w:sz w:val="24"/>
                <w:szCs w:val="24"/>
              </w:rPr>
              <w:t>Előzetes tudás</w:t>
            </w:r>
          </w:p>
        </w:tc>
        <w:tc>
          <w:tcPr>
            <w:tcW w:w="7143"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Sportversenyek egyéni megtapasztalása</w:t>
            </w:r>
          </w:p>
        </w:tc>
      </w:tr>
      <w:tr w:rsidR="002B4F9D">
        <w:tc>
          <w:tcPr>
            <w:tcW w:w="2088" w:type="dxa"/>
            <w:gridSpan w:val="2"/>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A tematikai egység nevelési-fejlesztési céljai</w:t>
            </w:r>
          </w:p>
        </w:tc>
        <w:tc>
          <w:tcPr>
            <w:tcW w:w="7143"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 xml:space="preserve">A hazai és nemzetközi események, eredmények megismertetése, megismerése, összehasonlítása.  Helyünk és szerepünk a világban sport </w:t>
            </w:r>
            <w:r>
              <w:rPr>
                <w:rFonts w:ascii="Times New Roman" w:hAnsi="Times New Roman"/>
                <w:sz w:val="24"/>
                <w:szCs w:val="24"/>
              </w:rPr>
              <w:lastRenderedPageBreak/>
              <w:t>szempontú megközelítése. Magyarország legeredményesebb olimpiáinak megismerése. Éremtáblázatok megtekintése</w:t>
            </w:r>
          </w:p>
          <w:p w:rsidR="00AC1E52" w:rsidRPr="00AC1E52" w:rsidRDefault="00AC1E52">
            <w:pPr>
              <w:spacing w:before="120"/>
              <w:rPr>
                <w:rFonts w:ascii="Times New Roman" w:hAnsi="Times New Roman"/>
                <w:color w:val="FF0000"/>
                <w:sz w:val="24"/>
                <w:szCs w:val="24"/>
              </w:rPr>
            </w:pPr>
            <w:r>
              <w:rPr>
                <w:rFonts w:ascii="Times New Roman" w:hAnsi="Times New Roman"/>
                <w:color w:val="FF0000"/>
                <w:sz w:val="24"/>
                <w:szCs w:val="24"/>
              </w:rPr>
              <w:t xml:space="preserve">Hódmezővásárhely olimpiai bajnoka </w:t>
            </w:r>
            <w:proofErr w:type="spellStart"/>
            <w:r>
              <w:rPr>
                <w:rFonts w:ascii="Times New Roman" w:hAnsi="Times New Roman"/>
                <w:color w:val="FF0000"/>
                <w:sz w:val="24"/>
                <w:szCs w:val="24"/>
              </w:rPr>
              <w:t>Risztov</w:t>
            </w:r>
            <w:proofErr w:type="spellEnd"/>
            <w:r>
              <w:rPr>
                <w:rFonts w:ascii="Times New Roman" w:hAnsi="Times New Roman"/>
                <w:color w:val="FF0000"/>
                <w:sz w:val="24"/>
                <w:szCs w:val="24"/>
              </w:rPr>
              <w:t xml:space="preserve"> Éva</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eastAsia="Calibri"/>
              </w:rPr>
              <w:lastRenderedPageBreak/>
              <w:br w:type="column"/>
            </w:r>
            <w:r>
              <w:rPr>
                <w:rFonts w:ascii="Times New Roman" w:hAnsi="Times New Roman"/>
                <w:b/>
                <w:sz w:val="24"/>
                <w:szCs w:val="24"/>
              </w:rPr>
              <w:t>Ismeretek/fejlesztési követelmények</w:t>
            </w:r>
          </w:p>
        </w:tc>
      </w:tr>
      <w:tr w:rsidR="002B4F9D">
        <w:tc>
          <w:tcPr>
            <w:tcW w:w="9231" w:type="dxa"/>
            <w:gridSpan w:val="4"/>
            <w:tcBorders>
              <w:top w:val="single" w:sz="4" w:space="0" w:color="000000"/>
              <w:left w:val="single" w:sz="4" w:space="0" w:color="000000"/>
              <w:bottom w:val="single" w:sz="4" w:space="0" w:color="000000"/>
              <w:right w:val="single" w:sz="4" w:space="0" w:color="000000"/>
            </w:tcBorders>
            <w:hideMark/>
          </w:tcPr>
          <w:p w:rsidR="00AC1E52" w:rsidRDefault="002B4F9D">
            <w:pPr>
              <w:spacing w:before="120"/>
              <w:rPr>
                <w:rFonts w:ascii="Times New Roman" w:hAnsi="Times New Roman"/>
                <w:bCs/>
                <w:sz w:val="24"/>
                <w:szCs w:val="24"/>
              </w:rPr>
            </w:pPr>
            <w:r>
              <w:rPr>
                <w:rFonts w:ascii="Times New Roman" w:hAnsi="Times New Roman"/>
                <w:bCs/>
                <w:sz w:val="24"/>
                <w:szCs w:val="24"/>
              </w:rPr>
              <w:t>Magyarország legeredményesebb sportolóinak megismerése. A sportágak és sporttevékenységek megismerése. Kitekintés az olimpiai eredményességi mutatókra. A sport összetartó erejének megismertetése. Összehasonlítások, elemzések, játékok megtekintés</w:t>
            </w:r>
          </w:p>
          <w:p w:rsidR="00AC1E52" w:rsidRPr="00AC1E52" w:rsidRDefault="00AC1E52">
            <w:pPr>
              <w:spacing w:before="120"/>
              <w:rPr>
                <w:rFonts w:ascii="Times New Roman" w:hAnsi="Times New Roman"/>
                <w:bCs/>
                <w:color w:val="FF0000"/>
                <w:sz w:val="24"/>
                <w:szCs w:val="24"/>
              </w:rPr>
            </w:pPr>
            <w:r>
              <w:rPr>
                <w:rFonts w:ascii="Times New Roman" w:hAnsi="Times New Roman"/>
                <w:bCs/>
                <w:color w:val="FF0000"/>
                <w:sz w:val="24"/>
                <w:szCs w:val="24"/>
              </w:rPr>
              <w:t>Hódmezővásárhelyen született olimpiai bajnokok sportpályafutásának megismerése</w:t>
            </w:r>
            <w:r w:rsidR="0038324F">
              <w:rPr>
                <w:rFonts w:ascii="Times New Roman" w:hAnsi="Times New Roman"/>
                <w:bCs/>
                <w:color w:val="FF0000"/>
                <w:sz w:val="24"/>
                <w:szCs w:val="24"/>
              </w:rPr>
              <w:t>: úszás, hosszútávúszás</w:t>
            </w:r>
          </w:p>
        </w:tc>
      </w:tr>
      <w:tr w:rsidR="002B4F9D">
        <w:tc>
          <w:tcPr>
            <w:tcW w:w="1856"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Cs/>
                <w:sz w:val="24"/>
                <w:szCs w:val="24"/>
              </w:rPr>
            </w:pPr>
            <w:r>
              <w:rPr>
                <w:rFonts w:ascii="Times New Roman" w:hAnsi="Times New Roman"/>
                <w:b/>
                <w:sz w:val="24"/>
                <w:szCs w:val="24"/>
              </w:rPr>
              <w:t>Kulcsfogalmak</w:t>
            </w:r>
          </w:p>
        </w:tc>
        <w:tc>
          <w:tcPr>
            <w:tcW w:w="7375" w:type="dxa"/>
            <w:gridSpan w:val="3"/>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eredményesség, kitekintés, összehasonlítás, éremtáblázat, elemzés</w:t>
            </w:r>
          </w:p>
        </w:tc>
      </w:tr>
    </w:tbl>
    <w:p w:rsidR="002B4F9D" w:rsidRDefault="002B4F9D" w:rsidP="002B4F9D">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2136"/>
        <w:gridCol w:w="6007"/>
        <w:gridCol w:w="1082"/>
      </w:tblGrid>
      <w:tr w:rsidR="002B4F9D">
        <w:trPr>
          <w:trHeight w:val="572"/>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6011"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sz w:val="24"/>
                <w:szCs w:val="24"/>
              </w:rPr>
            </w:pPr>
            <w:r>
              <w:rPr>
                <w:rFonts w:ascii="Times New Roman" w:hAnsi="Times New Roman"/>
                <w:b/>
                <w:sz w:val="24"/>
                <w:szCs w:val="24"/>
              </w:rPr>
              <w:t>Olimpiai játékok a gyakorlatban</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spacing w:before="120"/>
              <w:jc w:val="center"/>
              <w:rPr>
                <w:rFonts w:ascii="Times New Roman" w:hAnsi="Times New Roman"/>
                <w:b/>
                <w:bCs/>
                <w:sz w:val="24"/>
                <w:szCs w:val="24"/>
              </w:rPr>
            </w:pPr>
            <w:r>
              <w:rPr>
                <w:rFonts w:ascii="Times New Roman" w:hAnsi="Times New Roman"/>
                <w:b/>
                <w:bCs/>
                <w:sz w:val="24"/>
                <w:szCs w:val="24"/>
              </w:rPr>
              <w:t xml:space="preserve">Órakeret </w:t>
            </w:r>
            <w:r w:rsidR="0018440E">
              <w:rPr>
                <w:rFonts w:ascii="Times New Roman" w:hAnsi="Times New Roman"/>
                <w:sz w:val="24"/>
                <w:szCs w:val="24"/>
              </w:rPr>
              <w:t xml:space="preserve">2 </w:t>
            </w:r>
            <w:r>
              <w:rPr>
                <w:rFonts w:ascii="Times New Roman" w:hAnsi="Times New Roman"/>
                <w:sz w:val="24"/>
                <w:szCs w:val="24"/>
              </w:rPr>
              <w:t>óra</w:t>
            </w:r>
          </w:p>
        </w:tc>
      </w:tr>
      <w:tr w:rsidR="002B4F9D">
        <w:tc>
          <w:tcPr>
            <w:tcW w:w="2137"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bCs/>
                <w:sz w:val="24"/>
                <w:szCs w:val="24"/>
              </w:rPr>
              <w:t>Előzetes tudás</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rPr>
                <w:rFonts w:ascii="Times New Roman" w:hAnsi="Times New Roman"/>
                <w:sz w:val="24"/>
                <w:szCs w:val="24"/>
              </w:rPr>
            </w:pPr>
            <w:r>
              <w:rPr>
                <w:rFonts w:ascii="Times New Roman" w:hAnsi="Times New Roman"/>
                <w:sz w:val="24"/>
                <w:szCs w:val="24"/>
              </w:rPr>
              <w:t>A megszerzett ismeretek felelevenítése</w:t>
            </w:r>
          </w:p>
        </w:tc>
      </w:tr>
      <w:tr w:rsidR="002B4F9D">
        <w:tc>
          <w:tcPr>
            <w:tcW w:w="2137" w:type="dxa"/>
            <w:tcBorders>
              <w:top w:val="single" w:sz="4" w:space="0" w:color="000000"/>
              <w:left w:val="single" w:sz="4" w:space="0" w:color="000000"/>
              <w:bottom w:val="single" w:sz="4" w:space="0" w:color="000000"/>
              <w:right w:val="single" w:sz="4" w:space="0" w:color="000000"/>
            </w:tcBorders>
            <w:vAlign w:val="center"/>
            <w:hideMark/>
          </w:tcPr>
          <w:p w:rsidR="002B4F9D" w:rsidRDefault="002B4F9D">
            <w:pPr>
              <w:jc w:val="center"/>
              <w:rPr>
                <w:rFonts w:ascii="Times New Roman" w:hAnsi="Times New Roman"/>
                <w:sz w:val="24"/>
                <w:szCs w:val="24"/>
              </w:rPr>
            </w:pPr>
            <w:r>
              <w:rPr>
                <w:rFonts w:ascii="Times New Roman" w:hAnsi="Times New Roman"/>
                <w:b/>
                <w:sz w:val="24"/>
                <w:szCs w:val="24"/>
              </w:rPr>
              <w:t>A tematikai egység nevelési-fejlesztési céljai</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2B4F9D" w:rsidRDefault="002B4F9D">
            <w:pPr>
              <w:spacing w:before="120"/>
              <w:jc w:val="both"/>
              <w:rPr>
                <w:rFonts w:ascii="Times New Roman" w:hAnsi="Times New Roman"/>
                <w:sz w:val="24"/>
                <w:szCs w:val="24"/>
              </w:rPr>
            </w:pPr>
            <w:r>
              <w:rPr>
                <w:rFonts w:ascii="Times New Roman" w:hAnsi="Times New Roman"/>
                <w:sz w:val="24"/>
                <w:szCs w:val="24"/>
              </w:rPr>
              <w:t>A sportjátékok örömének megélése. A közösen végzett munka öröme. A munka és a játék kapcsolódása.</w:t>
            </w:r>
          </w:p>
        </w:tc>
      </w:tr>
      <w:tr w:rsidR="002B4F9D">
        <w:tc>
          <w:tcPr>
            <w:tcW w:w="9231" w:type="dxa"/>
            <w:gridSpan w:val="3"/>
            <w:tcBorders>
              <w:top w:val="single" w:sz="4" w:space="0" w:color="000000"/>
              <w:left w:val="single" w:sz="4" w:space="0" w:color="000000"/>
              <w:bottom w:val="single" w:sz="4" w:space="0" w:color="000000"/>
              <w:right w:val="single" w:sz="4" w:space="0" w:color="000000"/>
            </w:tcBorders>
            <w:vAlign w:val="center"/>
            <w:hideMark/>
          </w:tcPr>
          <w:p w:rsidR="002B4F9D" w:rsidRDefault="0018440E">
            <w:pPr>
              <w:spacing w:before="120"/>
              <w:jc w:val="center"/>
              <w:rPr>
                <w:rFonts w:ascii="Times New Roman" w:hAnsi="Times New Roman"/>
                <w:b/>
                <w:sz w:val="24"/>
                <w:szCs w:val="24"/>
              </w:rPr>
            </w:pPr>
            <w:r>
              <w:rPr>
                <w:rFonts w:ascii="Times New Roman" w:hAnsi="Times New Roman"/>
                <w:b/>
                <w:sz w:val="24"/>
                <w:szCs w:val="24"/>
              </w:rPr>
              <w:t xml:space="preserve"> </w:t>
            </w:r>
            <w:r w:rsidR="002B4F9D">
              <w:rPr>
                <w:rFonts w:ascii="Times New Roman" w:hAnsi="Times New Roman"/>
                <w:b/>
                <w:sz w:val="24"/>
                <w:szCs w:val="24"/>
              </w:rPr>
              <w:t>Ismeretek/fejlesztési követelmények</w:t>
            </w:r>
          </w:p>
        </w:tc>
      </w:tr>
      <w:tr w:rsidR="002B4F9D">
        <w:tc>
          <w:tcPr>
            <w:tcW w:w="9231" w:type="dxa"/>
            <w:gridSpan w:val="3"/>
            <w:tcBorders>
              <w:top w:val="single" w:sz="4" w:space="0" w:color="000000"/>
              <w:left w:val="single" w:sz="4" w:space="0" w:color="000000"/>
              <w:bottom w:val="single" w:sz="4" w:space="0" w:color="000000"/>
              <w:right w:val="single" w:sz="4" w:space="0" w:color="000000"/>
            </w:tcBorders>
            <w:vAlign w:val="center"/>
          </w:tcPr>
          <w:p w:rsidR="002B4F9D" w:rsidRDefault="002B4F9D">
            <w:pPr>
              <w:spacing w:before="120"/>
              <w:jc w:val="both"/>
              <w:rPr>
                <w:rFonts w:ascii="Times New Roman" w:hAnsi="Times New Roman"/>
                <w:sz w:val="24"/>
                <w:szCs w:val="24"/>
              </w:rPr>
            </w:pPr>
            <w:r>
              <w:rPr>
                <w:rFonts w:ascii="Times New Roman" w:hAnsi="Times New Roman"/>
                <w:sz w:val="24"/>
                <w:szCs w:val="24"/>
              </w:rPr>
              <w:t xml:space="preserve">A sportjátékok bemutatása, eszköz használat, korstílus megismerése, szokásrendszer alkalmazása, győzelem-vereség feldolgozása, egyéni és </w:t>
            </w:r>
            <w:proofErr w:type="gramStart"/>
            <w:r>
              <w:rPr>
                <w:rFonts w:ascii="Times New Roman" w:hAnsi="Times New Roman"/>
                <w:sz w:val="24"/>
                <w:szCs w:val="24"/>
              </w:rPr>
              <w:t>csapat versenyek</w:t>
            </w:r>
            <w:proofErr w:type="gramEnd"/>
            <w:r>
              <w:rPr>
                <w:rFonts w:ascii="Times New Roman" w:hAnsi="Times New Roman"/>
                <w:sz w:val="24"/>
                <w:szCs w:val="24"/>
              </w:rPr>
              <w:t xml:space="preserve"> keretében,</w:t>
            </w:r>
          </w:p>
          <w:p w:rsidR="002B4F9D" w:rsidRDefault="002B4F9D">
            <w:pPr>
              <w:spacing w:before="120"/>
              <w:jc w:val="center"/>
              <w:rPr>
                <w:rFonts w:ascii="Times New Roman" w:hAnsi="Times New Roman"/>
                <w:sz w:val="24"/>
                <w:szCs w:val="24"/>
              </w:rPr>
            </w:pPr>
          </w:p>
        </w:tc>
      </w:tr>
    </w:tbl>
    <w:p w:rsidR="002B4F9D" w:rsidRDefault="002B4F9D" w:rsidP="002B4F9D">
      <w:pPr>
        <w:rPr>
          <w:rFonts w:ascii="Times New Roman" w:hAnsi="Times New Roman"/>
          <w:sz w:val="24"/>
          <w:szCs w:val="24"/>
        </w:rPr>
      </w:pPr>
    </w:p>
    <w:p w:rsidR="002B4F9D" w:rsidRDefault="002B4F9D" w:rsidP="002B4F9D">
      <w:pPr>
        <w:spacing w:line="360" w:lineRule="auto"/>
        <w:ind w:firstLine="708"/>
        <w:jc w:val="both"/>
        <w:rPr>
          <w:rFonts w:ascii="Times New Roman" w:eastAsia="Calibri" w:hAnsi="Times New Roman"/>
          <w:sz w:val="24"/>
          <w:szCs w:val="24"/>
        </w:rPr>
      </w:pPr>
      <w:r>
        <w:rPr>
          <w:rFonts w:ascii="Times New Roman" w:hAnsi="Times New Roman"/>
          <w:sz w:val="24"/>
          <w:szCs w:val="24"/>
        </w:rPr>
        <w:t xml:space="preserve">Az olimpiaismeret </w:t>
      </w:r>
      <w:r>
        <w:rPr>
          <w:rFonts w:ascii="Times New Roman" w:eastAsia="Calibri" w:hAnsi="Times New Roman"/>
          <w:sz w:val="24"/>
          <w:szCs w:val="24"/>
        </w:rPr>
        <w:t xml:space="preserve">a sportiskolai nevelés-oktatás, azaz a sportolói pályafutásra való felkészítés szerves része. </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tantárgy lehetőséget biztosít a sportoló önmaga jobb megismerésére</w:t>
      </w:r>
      <w:proofErr w:type="gramStart"/>
      <w:r>
        <w:rPr>
          <w:rFonts w:ascii="Times New Roman" w:eastAsia="Calibri" w:hAnsi="Times New Roman"/>
          <w:sz w:val="24"/>
          <w:szCs w:val="24"/>
        </w:rPr>
        <w:t>;,</w:t>
      </w:r>
      <w:proofErr w:type="gramEnd"/>
      <w:r>
        <w:rPr>
          <w:rFonts w:ascii="Times New Roman" w:eastAsia="Calibri" w:hAnsi="Times New Roman"/>
          <w:sz w:val="24"/>
          <w:szCs w:val="24"/>
        </w:rPr>
        <w:t xml:space="preserve"> mely tudás birtokában képessé válhat az eredmény centrikus versenyzésre és edzéstevékenységre.</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sportoló megtanulja a sportpályán és az életben is helyes interperszonális kapcsolatok kialakítását.</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Az olimpiai játékok történetének tanításán, tanulásán keresztül a sportolói és nemzeti identitástudat fejlődik. </w:t>
      </w:r>
    </w:p>
    <w:p w:rsidR="002B4F9D" w:rsidRDefault="002B4F9D" w:rsidP="002B4F9D">
      <w:pPr>
        <w:spacing w:line="360" w:lineRule="auto"/>
        <w:ind w:firstLine="708"/>
        <w:jc w:val="both"/>
        <w:rPr>
          <w:rFonts w:ascii="Times New Roman" w:eastAsia="Calibri" w:hAnsi="Times New Roman"/>
          <w:sz w:val="24"/>
          <w:szCs w:val="24"/>
        </w:rPr>
      </w:pPr>
      <w:r>
        <w:rPr>
          <w:rFonts w:ascii="Times New Roman" w:hAnsi="Times New Roman"/>
          <w:sz w:val="24"/>
          <w:szCs w:val="24"/>
        </w:rPr>
        <w:t>Az oktatási –nevelési folyamat végére a sportoló fiatal megismeri az olimpiai játékok lényegi sajátosságait mely nagy hatással bír sportolói tevékenységrendszerének tudatosabb gyakorlására, személyiség fejlődésére.</w:t>
      </w:r>
    </w:p>
    <w:p w:rsidR="00AA734D" w:rsidRPr="002B4F9D" w:rsidRDefault="002B4F9D" w:rsidP="002B4F9D">
      <w:r>
        <w:rPr>
          <w:rFonts w:ascii="Times New Roman" w:eastAsia="Calibri" w:hAnsi="Times New Roman"/>
          <w:sz w:val="24"/>
          <w:szCs w:val="24"/>
        </w:rPr>
        <w:br w:type="page"/>
      </w:r>
    </w:p>
    <w:sectPr w:rsidR="00AA734D" w:rsidRPr="002B4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28"/>
    <w:rsid w:val="000E66FC"/>
    <w:rsid w:val="0018440E"/>
    <w:rsid w:val="00210412"/>
    <w:rsid w:val="002912DA"/>
    <w:rsid w:val="002B4F9D"/>
    <w:rsid w:val="0038324F"/>
    <w:rsid w:val="003E47B2"/>
    <w:rsid w:val="004731FF"/>
    <w:rsid w:val="00AA734D"/>
    <w:rsid w:val="00AC1E52"/>
    <w:rsid w:val="00AE2A28"/>
    <w:rsid w:val="00AF3746"/>
    <w:rsid w:val="00F75C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68D07-7416-4A94-8FBD-B86FAD7E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B4F9D"/>
    <w:pPr>
      <w:spacing w:after="0" w:line="240" w:lineRule="auto"/>
    </w:pPr>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9162</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Béres Csaba</dc:creator>
  <cp:keywords/>
  <dc:description/>
  <cp:lastModifiedBy>Kovács Gábor Mihály</cp:lastModifiedBy>
  <cp:revision>2</cp:revision>
  <dcterms:created xsi:type="dcterms:W3CDTF">2020-07-08T07:06:00Z</dcterms:created>
  <dcterms:modified xsi:type="dcterms:W3CDTF">2020-07-08T07:06:00Z</dcterms:modified>
</cp:coreProperties>
</file>